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9" w:rsidRPr="002C1519" w:rsidRDefault="002C1519" w:rsidP="002C151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2C151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2C151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2C151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28.12.2015 N 1527 (ред. от 25.06.2020) Об утверждении Порядка и условий осуществления </w:t>
      </w:r>
      <w:proofErr w:type="gramStart"/>
      <w:r w:rsidRPr="002C151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перевода</w:t>
      </w:r>
      <w:proofErr w:type="gramEnd"/>
      <w:r w:rsidRPr="002C151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C1519" w:rsidRPr="002C1519" w:rsidRDefault="002C1519" w:rsidP="002C15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0" w:name="100002"/>
      <w:bookmarkEnd w:id="0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2C1519" w:rsidRPr="002C1519" w:rsidRDefault="002C1519" w:rsidP="002C15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" w:name="100003"/>
      <w:bookmarkEnd w:id="1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ПРИКАЗ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от 28 декабря 2015 г. N 1527</w:t>
      </w:r>
    </w:p>
    <w:p w:rsidR="002C1519" w:rsidRPr="002C1519" w:rsidRDefault="002C1519" w:rsidP="002C15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" w:name="100004"/>
      <w:bookmarkEnd w:id="2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 УТВЕРЖДЕНИИ ПОРЯДКА И УСЛОВИЙ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ОСУЩЕСТВЛЕНИЯ ПЕРЕВОДА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ОБУЧАЮЩИХСЯ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ИЗ ОДНОЙ ОРГАНИЗАЦИИ, ОСУЩЕСТВЛЯЮЩЕЙ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ОБРАЗОВАТЕЛЬНУЮ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ДЕЯТЕЛЬНОСТЬ ПО ОБРАЗОВАТЕЛЬНЫМ ПРОГРАММАМ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ДОШКОЛЬНОГО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ОБРАЗОВАНИЯ, В ДРУГИЕ ОРГАНИЗАЦИИ, ОСУЩЕСТВЛЯЮЩИЕ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ОБРАЗОВАТЕЛЬНУЮ ДЕЯТЕЛЬНОСТЬ ПО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ОБРАЗОВАТЕЛЬНЫМ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ПРОГРАММАМ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СООТВЕТСТВУЮЩИХ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УРОВНЯ И НАПРАВЛЕННОСТИ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" w:name="100005"/>
      <w:bookmarkEnd w:id="3"/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 соответствии с </w:t>
      </w:r>
      <w:hyperlink r:id="rId4" w:anchor="100492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15 части 1</w:t>
        </w:r>
      </w:hyperlink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 и </w:t>
      </w:r>
      <w:hyperlink r:id="rId5" w:anchor="100521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9 статьи 34</w:t>
        </w:r>
      </w:hyperlink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N 33, ст. 4386; N 37, ст. 4702; 2014, N 2, ст. 126; N 6, ст. 582; N 27, ст. 3776; 2015, N 26, ст. 3898; N 43, ст. 5976), приказываю:</w:t>
      </w:r>
      <w:proofErr w:type="gramEnd"/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" w:name="100006"/>
      <w:bookmarkEnd w:id="4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Утвердить прилагаемые </w:t>
      </w:r>
      <w:hyperlink r:id="rId6" w:anchor="100010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 и условия</w:t>
        </w:r>
      </w:hyperlink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 осуществления перевода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обучающихся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2C1519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направленности.</w:t>
      </w:r>
    </w:p>
    <w:p w:rsidR="002C1519" w:rsidRPr="002C1519" w:rsidRDefault="002C1519" w:rsidP="002C15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" w:name="100007"/>
      <w:bookmarkEnd w:id="5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Министр</w:t>
      </w:r>
    </w:p>
    <w:p w:rsidR="002C1519" w:rsidRPr="002C1519" w:rsidRDefault="002C1519" w:rsidP="002C15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Д.В.ЛИВАНОВ</w:t>
      </w:r>
    </w:p>
    <w:p w:rsidR="002C1519" w:rsidRPr="002C1519" w:rsidRDefault="002C1519" w:rsidP="002C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519" w:rsidRPr="002C1519" w:rsidRDefault="002C1519" w:rsidP="002C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519" w:rsidRPr="002C1519" w:rsidRDefault="002C1519" w:rsidP="002C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519" w:rsidRPr="002C1519" w:rsidRDefault="002C1519" w:rsidP="002C15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" w:name="100008"/>
      <w:bookmarkEnd w:id="6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Приложение</w:t>
      </w:r>
    </w:p>
    <w:p w:rsidR="002C1519" w:rsidRPr="002C1519" w:rsidRDefault="002C1519" w:rsidP="002C15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" w:name="100009"/>
      <w:bookmarkEnd w:id="7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Утверждены</w:t>
      </w:r>
    </w:p>
    <w:p w:rsidR="002C1519" w:rsidRPr="002C1519" w:rsidRDefault="002C1519" w:rsidP="002C15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приказом Министерства образования</w:t>
      </w:r>
    </w:p>
    <w:p w:rsidR="002C1519" w:rsidRPr="002C1519" w:rsidRDefault="002C1519" w:rsidP="002C15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и науки Российской Федерации</w:t>
      </w:r>
    </w:p>
    <w:p w:rsidR="002C1519" w:rsidRPr="002C1519" w:rsidRDefault="002C1519" w:rsidP="002C15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от 28 декабря 2015 г. N 1527</w:t>
      </w:r>
    </w:p>
    <w:p w:rsidR="002C1519" w:rsidRPr="002C1519" w:rsidRDefault="002C1519" w:rsidP="002C15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" w:name="100010"/>
      <w:bookmarkEnd w:id="8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ПОРЯДОК И УСЛОВИЯ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ОСУЩЕСТВЛЕНИЯ ПЕРЕВОДА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ОБУЧАЮЩИХСЯ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ИЗ ОДНОЙ ОРГАНИЗАЦИИ, ОСУЩЕСТВЛЯЮЩЕЙ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ОБРАЗОВАТЕЛЬНУЮ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ДЕЯТЕЛЬНОСТЬ ПО ОБРАЗОВАТЕЛЬНЫМ ПРОГРАММАМ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ДОШКОЛЬНОГО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ОБРАЗОВАНИЯ, В ДРУГИЕ ОРГАНИЗАЦИИ, ОСУЩЕСТВЛЯЮЩИЕ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ОБРАЗОВАТЕЛЬНУЮ ДЕЯТЕЛЬНОСТЬ ПО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ОБРАЗОВАТЕЛЬНЫМ</w:t>
      </w:r>
      <w:proofErr w:type="gramEnd"/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ПРОГРАММАМ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СООТВЕТСТВУЮЩИХ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УРОВНЯ И НАПРАВЛЕННОСТИ</w:t>
      </w:r>
    </w:p>
    <w:p w:rsidR="002C1519" w:rsidRPr="002C1519" w:rsidRDefault="002C1519" w:rsidP="002C15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9" w:name="100011"/>
      <w:bookmarkEnd w:id="9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I. Общие положения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0" w:name="100012"/>
      <w:bookmarkEnd w:id="10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1.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1" w:name="100013"/>
      <w:bookmarkEnd w:id="11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обучающийся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);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2" w:name="100014"/>
      <w:bookmarkEnd w:id="12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3" w:name="100015"/>
      <w:bookmarkEnd w:id="13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 случае приостановления действия лицензии.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4" w:name="100016"/>
      <w:bookmarkEnd w:id="14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5" w:name="100017"/>
      <w:bookmarkEnd w:id="15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 xml:space="preserve">3. Перевод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обучающихся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2C1519" w:rsidRPr="002C1519" w:rsidRDefault="002C1519" w:rsidP="002C15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6" w:name="100018"/>
      <w:bookmarkEnd w:id="16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II. Перевод обучающегося по инициативе его родителей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(законных представителей)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7" w:name="000003"/>
      <w:bookmarkStart w:id="18" w:name="100019"/>
      <w:bookmarkStart w:id="19" w:name="100020"/>
      <w:bookmarkStart w:id="20" w:name="100021"/>
      <w:bookmarkStart w:id="21" w:name="100022"/>
      <w:bookmarkStart w:id="22" w:name="100023"/>
      <w:bookmarkEnd w:id="17"/>
      <w:bookmarkEnd w:id="18"/>
      <w:bookmarkEnd w:id="19"/>
      <w:bookmarkEnd w:id="20"/>
      <w:bookmarkEnd w:id="21"/>
      <w:bookmarkEnd w:id="22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3" w:name="000004"/>
      <w:bookmarkEnd w:id="23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4" w:name="000005"/>
      <w:bookmarkEnd w:id="24"/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</w:r>
      <w:hyperlink r:id="rId7" w:anchor="100040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пунктами 8</w:t>
        </w:r>
      </w:hyperlink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, </w:t>
      </w:r>
      <w:hyperlink r:id="rId8" w:anchor="100054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9</w:t>
        </w:r>
      </w:hyperlink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 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5" w:name="000006"/>
      <w:bookmarkEnd w:id="25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в принимающую организацию.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6" w:name="000007"/>
      <w:bookmarkEnd w:id="26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7" w:name="000008"/>
      <w:bookmarkEnd w:id="27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осуществляют выбор частной образовательной организации;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8" w:name="000009"/>
      <w:bookmarkEnd w:id="28"/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9" w:name="000010"/>
      <w:bookmarkEnd w:id="29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после получения информации о наличии свободного места обращаются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в частную образовательную организацию.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0" w:name="100024"/>
      <w:bookmarkEnd w:id="30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1" w:name="100025"/>
      <w:bookmarkEnd w:id="31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а) фамилия, имя, отчество (при наличии) обучающегося;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2" w:name="100026"/>
      <w:bookmarkEnd w:id="32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б) дата рождения;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3" w:name="100027"/>
      <w:bookmarkEnd w:id="33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в) направленность группы;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4" w:name="100028"/>
      <w:bookmarkEnd w:id="34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указывается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5" w:name="100029"/>
      <w:bookmarkEnd w:id="35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6" w:name="000011"/>
      <w:bookmarkStart w:id="37" w:name="100030"/>
      <w:bookmarkEnd w:id="36"/>
      <w:bookmarkEnd w:id="37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обучающегося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8" w:name="100031"/>
      <w:bookmarkEnd w:id="38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зачисления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9" w:name="000012"/>
      <w:bookmarkStart w:id="40" w:name="100032"/>
      <w:bookmarkEnd w:id="39"/>
      <w:bookmarkEnd w:id="40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При отсутствии в личном деле копий документов, необходимых для приема в соответствии с </w:t>
      </w:r>
      <w:hyperlink r:id="rId9" w:anchor="100013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Порядком</w:t>
        </w:r>
      </w:hyperlink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 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вправе запросить такие документы у родителя (законного представителя).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1" w:name="000001"/>
      <w:bookmarkEnd w:id="41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2" w:name="000002"/>
      <w:bookmarkEnd w:id="42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9.2. При приеме в порядке перевода на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обучение по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3" w:name="100033"/>
      <w:bookmarkEnd w:id="43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4" w:name="100034"/>
      <w:bookmarkEnd w:id="44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акта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</w:t>
      </w:r>
      <w:r w:rsidRPr="002C1519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о номере и дате распорядительного акта о зачислении обучающегося в принимающую организацию.</w:t>
      </w:r>
    </w:p>
    <w:p w:rsidR="002C1519" w:rsidRPr="002C1519" w:rsidRDefault="002C1519" w:rsidP="002C15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5" w:name="100035"/>
      <w:bookmarkEnd w:id="45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III. Перевод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обучающегося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в случае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прекращения деятельности исходной организации,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аннулирования лицензии, в случае приостановления</w:t>
      </w:r>
    </w:p>
    <w:p w:rsidR="002C1519" w:rsidRPr="002C1519" w:rsidRDefault="002C1519" w:rsidP="002C15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действия лицензии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6" w:name="100036"/>
      <w:bookmarkEnd w:id="46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ю(</w:t>
      </w:r>
      <w:proofErr w:type="spellStart"/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ые</w:t>
      </w:r>
      <w:proofErr w:type="spell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7" w:name="100037"/>
      <w:bookmarkEnd w:id="47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разместить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8" w:name="100038"/>
      <w:bookmarkEnd w:id="48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разместить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9" w:name="100039"/>
      <w:bookmarkEnd w:id="49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0" w:name="100040"/>
      <w:bookmarkEnd w:id="50"/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1" w:name="100041"/>
      <w:bookmarkEnd w:id="51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14. Учредитель, за исключением случая, указанного в </w:t>
      </w:r>
      <w:hyperlink r:id="rId10" w:anchor="100036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12</w:t>
        </w:r>
      </w:hyperlink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2" w:name="100042"/>
      <w:bookmarkEnd w:id="52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3" w:name="100043"/>
      <w:bookmarkEnd w:id="53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4" w:name="100044"/>
      <w:bookmarkEnd w:id="54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" w:name="100045"/>
      <w:bookmarkEnd w:id="55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6" w:name="100046"/>
      <w:bookmarkEnd w:id="56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7" w:name="100047"/>
      <w:bookmarkEnd w:id="57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8" w:name="100048"/>
      <w:bookmarkEnd w:id="58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9" w:name="100049"/>
      <w:bookmarkEnd w:id="59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В распорядительном акте о зачислении делается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запись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0" w:name="100050"/>
      <w:bookmarkEnd w:id="60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включающие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C1519" w:rsidRPr="002C1519" w:rsidRDefault="002C1519" w:rsidP="002C1519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C151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C1519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C1519" w:rsidRPr="002C1519" w:rsidRDefault="002C1519" w:rsidP="002C1519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C1519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C1519" w:rsidRPr="002C1519" w:rsidRDefault="002C1519" w:rsidP="002C1519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2C15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2C15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2C15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28.12.2015 N 1527 (ред. от 25.06.2020) Об утверждении Порядка и условий осуществления </w:t>
      </w:r>
      <w:proofErr w:type="gramStart"/>
      <w:r w:rsidRPr="002C15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перевода</w:t>
      </w:r>
      <w:proofErr w:type="gramEnd"/>
      <w:r w:rsidRPr="002C15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обучающихся из одной организации, осуществляющей образовательную деятельность по образовательным </w:t>
      </w:r>
      <w:r w:rsidRPr="002C15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>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C1519" w:rsidRPr="002C1519" w:rsidRDefault="002C1519" w:rsidP="002C1519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2C1519" w:rsidRPr="002C1519" w:rsidRDefault="002C1519" w:rsidP="002C1519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11" w:anchor="100864" w:history="1"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"Доклад о результатах мониторинга </w:t>
        </w:r>
        <w:proofErr w:type="spellStart"/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правоприменения</w:t>
        </w:r>
        <w:proofErr w:type="spellEnd"/>
        <w:r w:rsidRPr="002C151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в Российской Федерации за 2015 год"</w:t>
        </w:r>
      </w:hyperlink>
    </w:p>
    <w:bookmarkStart w:id="61" w:name="100864"/>
    <w:bookmarkEnd w:id="61"/>
    <w:p w:rsidR="002C1519" w:rsidRPr="002C1519" w:rsidRDefault="002C1519" w:rsidP="002C15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fldChar w:fldCharType="begin"/>
      </w:r>
      <w:r w:rsidRPr="002C1519">
        <w:rPr>
          <w:rFonts w:ascii="inherit" w:eastAsia="Times New Roman" w:hAnsi="inherit" w:cs="Arial"/>
          <w:sz w:val="23"/>
          <w:szCs w:val="23"/>
          <w:lang w:eastAsia="ru-RU"/>
        </w:rPr>
        <w:instrText xml:space="preserve"> HYPERLINK "https://legalacts.ru/doc/prikaz-minobrnauki-rossii-ot-28122015-n-1527/" </w:instrText>
      </w:r>
      <w:r w:rsidRPr="002C1519">
        <w:rPr>
          <w:rFonts w:ascii="inherit" w:eastAsia="Times New Roman" w:hAnsi="inherit" w:cs="Arial"/>
          <w:sz w:val="23"/>
          <w:szCs w:val="23"/>
          <w:lang w:eastAsia="ru-RU"/>
        </w:rPr>
        <w:fldChar w:fldCharType="separate"/>
      </w:r>
      <w:r w:rsidRPr="002C1519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</w:t>
      </w:r>
      <w:r w:rsidRPr="002C1519">
        <w:rPr>
          <w:rFonts w:ascii="inherit" w:eastAsia="Times New Roman" w:hAnsi="inherit" w:cs="Arial"/>
          <w:sz w:val="23"/>
          <w:szCs w:val="23"/>
          <w:lang w:eastAsia="ru-RU"/>
        </w:rPr>
        <w:fldChar w:fldCharType="end"/>
      </w: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 </w:t>
      </w:r>
      <w:proofErr w:type="spell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Минобрнауки</w:t>
      </w:r>
      <w:proofErr w:type="spell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России от 28 декабря 2015 г. N 1527</w:t>
      </w:r>
    </w:p>
    <w:p w:rsidR="002C1519" w:rsidRPr="002C1519" w:rsidRDefault="002C1519" w:rsidP="002C1519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"Об утверждении Порядка и условий осуществления </w:t>
      </w:r>
      <w:proofErr w:type="gramStart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>перевода</w:t>
      </w:r>
      <w:proofErr w:type="gramEnd"/>
      <w:r w:rsidRPr="002C1519">
        <w:rPr>
          <w:rFonts w:ascii="inherit" w:eastAsia="Times New Roman" w:hAnsi="inherit" w:cs="Arial"/>
          <w:sz w:val="23"/>
          <w:szCs w:val="23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Минюстом России 2 февраля 2016 г., N 40944)</w:t>
      </w:r>
    </w:p>
    <w:p w:rsidR="002C1519" w:rsidRPr="002C1519" w:rsidRDefault="002C1519" w:rsidP="002C1519">
      <w:pPr>
        <w:spacing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8522F4" w:rsidRDefault="002C1519" w:rsidP="002C1519">
      <w:r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blank" w:tooltip="Мой Мир" w:history="1">
        <w:r w:rsidRPr="002C1519">
          <w:rPr>
            <w:rFonts w:ascii="Arial" w:eastAsia="Times New Roman" w:hAnsi="Arial" w:cs="Arial"/>
            <w:color w:val="005EA5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sectPr w:rsidR="008522F4" w:rsidSect="0085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19"/>
    <w:rsid w:val="002C1519"/>
    <w:rsid w:val="0085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F4"/>
  </w:style>
  <w:style w:type="paragraph" w:styleId="1">
    <w:name w:val="heading 1"/>
    <w:basedOn w:val="a"/>
    <w:link w:val="10"/>
    <w:uiPriority w:val="9"/>
    <w:qFormat/>
    <w:rsid w:val="002C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1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5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C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C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519"/>
    <w:rPr>
      <w:color w:val="0000FF"/>
      <w:u w:val="single"/>
    </w:rPr>
  </w:style>
  <w:style w:type="paragraph" w:customStyle="1" w:styleId="pright">
    <w:name w:val="pright"/>
    <w:basedOn w:val="a"/>
    <w:rsid w:val="002C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C1519"/>
  </w:style>
  <w:style w:type="paragraph" w:styleId="a5">
    <w:name w:val="Balloon Text"/>
    <w:basedOn w:val="a"/>
    <w:link w:val="a6"/>
    <w:uiPriority w:val="99"/>
    <w:semiHidden/>
    <w:unhideWhenUsed/>
    <w:rsid w:val="002C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6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prosveshchenija-rossii-ot-15052020-n-236-ob-utverzhdenii/" TargetMode="External"/><Relationship Id="rId13" Type="http://schemas.openxmlformats.org/officeDocument/2006/relationships/hyperlink" Target="https://share.yandex.net/go.xml?service=moimir&amp;url=https%3A%2F%2Flegalacts.ru%2Fdoc%2Fprikaz-minobrnauki-rossii-ot-28122015-n-1527%2F&amp;title=%D0%9F%D1%80%D0%B8%D0%BA%D0%B0%D0%B7%20%D0%9C%D0%B8%D0%BD%D0%BE%D0%B1%D1%80%D0%BD%D0%B0%D1%83%D0%BA%D0%B8%20%D0%A0%D0%BE%D1%81%D1%81%D0%B8%D0%B8%20%D0%BE%D1%82%2028.12.2015%20N%2015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prosveshchenija-rossii-ot-15052020-n-236-ob-utverzhdenii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28122015-n-1527/" TargetMode="External"/><Relationship Id="rId11" Type="http://schemas.openxmlformats.org/officeDocument/2006/relationships/hyperlink" Target="https://legalacts.ru/doc/doklad-o-rezultatakh-monitoringa-pravoprimenenija-v-rossiiskoi-federatsii-za/" TargetMode="External"/><Relationship Id="rId5" Type="http://schemas.openxmlformats.org/officeDocument/2006/relationships/hyperlink" Target="https://legalacts.ru/doc/273_FZ-ob-obrazovanii/glava-4/statja-3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obrnauki-rossii-ot-28122015-n-1527/" TargetMode="External"/><Relationship Id="rId4" Type="http://schemas.openxmlformats.org/officeDocument/2006/relationships/hyperlink" Target="https://legalacts.ru/doc/273_FZ-ob-obrazovanii/glava-4/statja-34/" TargetMode="External"/><Relationship Id="rId9" Type="http://schemas.openxmlformats.org/officeDocument/2006/relationships/hyperlink" Target="https://legalacts.ru/doc/prikaz-minprosveshchenija-rossii-ot-15052020-n-236-ob-utverzhde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3</cp:revision>
  <dcterms:created xsi:type="dcterms:W3CDTF">2020-11-23T07:21:00Z</dcterms:created>
  <dcterms:modified xsi:type="dcterms:W3CDTF">2020-11-23T07:22:00Z</dcterms:modified>
</cp:coreProperties>
</file>